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C7B" w:rsidRPr="0059008C" w:rsidRDefault="003E7C7B" w:rsidP="003E7C7B">
      <w:pPr>
        <w:rPr>
          <w:iCs/>
          <w:sz w:val="20"/>
          <w:szCs w:val="20"/>
          <w:lang w:val="sr-Cyrl-CS"/>
        </w:rPr>
      </w:pPr>
    </w:p>
    <w:tbl>
      <w:tblPr>
        <w:tblW w:w="10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3"/>
        <w:gridCol w:w="2223"/>
        <w:gridCol w:w="1260"/>
        <w:gridCol w:w="1563"/>
        <w:gridCol w:w="2397"/>
        <w:gridCol w:w="7"/>
        <w:gridCol w:w="1343"/>
        <w:gridCol w:w="1209"/>
      </w:tblGrid>
      <w:tr w:rsidR="00CF0ED2" w:rsidRPr="00CF0ED2" w:rsidTr="007340A0">
        <w:trPr>
          <w:trHeight w:val="227"/>
          <w:jc w:val="center"/>
        </w:trPr>
        <w:tc>
          <w:tcPr>
            <w:tcW w:w="4216" w:type="dxa"/>
            <w:gridSpan w:val="3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Cs w:val="20"/>
                <w:lang w:val="sr-Cyrl-CS" w:eastAsia="sr-Latn-CS"/>
              </w:rPr>
            </w:pPr>
            <w:r w:rsidRPr="00CF0ED2">
              <w:rPr>
                <w:rFonts w:eastAsia="Calibri" w:cs="Times New Roman"/>
                <w:b/>
                <w:szCs w:val="20"/>
                <w:lang w:val="sr-Cyrl-CS" w:eastAsia="sr-Latn-CS"/>
              </w:rPr>
              <w:t>Име и презиме</w:t>
            </w:r>
          </w:p>
        </w:tc>
        <w:tc>
          <w:tcPr>
            <w:tcW w:w="6519" w:type="dxa"/>
            <w:gridSpan w:val="5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 w:cs="Times New Roman"/>
                <w:lang w:val="sr-Cyrl-CS" w:eastAsia="sr-Latn-CS"/>
              </w:rPr>
            </w:pPr>
            <w:bookmarkStart w:id="0" w:name="_Toc431806216"/>
            <w:r w:rsidRPr="00CF0ED2">
              <w:rPr>
                <w:rFonts w:eastAsia="Calibri" w:cs="Times New Roman"/>
                <w:lang w:val="sr-Cyrl-CS" w:eastAsia="sr-Latn-CS"/>
              </w:rPr>
              <w:t>Тиодор Р. Росић</w:t>
            </w:r>
            <w:bookmarkEnd w:id="0"/>
          </w:p>
        </w:tc>
      </w:tr>
      <w:tr w:rsidR="00CF0ED2" w:rsidRPr="00CF0ED2" w:rsidTr="007340A0">
        <w:trPr>
          <w:trHeight w:val="227"/>
          <w:jc w:val="center"/>
        </w:trPr>
        <w:tc>
          <w:tcPr>
            <w:tcW w:w="4216" w:type="dxa"/>
            <w:gridSpan w:val="3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Cs w:val="20"/>
                <w:lang w:val="sr-Cyrl-CS" w:eastAsia="sr-Latn-CS"/>
              </w:rPr>
            </w:pPr>
            <w:r w:rsidRPr="00CF0ED2">
              <w:rPr>
                <w:rFonts w:eastAsia="Calibri" w:cs="Times New Roman"/>
                <w:b/>
                <w:szCs w:val="20"/>
                <w:lang w:val="sr-Cyrl-CS" w:eastAsia="sr-Latn-CS"/>
              </w:rPr>
              <w:t>Звање</w:t>
            </w:r>
          </w:p>
        </w:tc>
        <w:tc>
          <w:tcPr>
            <w:tcW w:w="6519" w:type="dxa"/>
            <w:gridSpan w:val="5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Cs w:val="20"/>
                <w:lang w:val="sr-Cyrl-CS" w:eastAsia="sr-Latn-CS"/>
              </w:rPr>
            </w:pPr>
            <w:r w:rsidRPr="00CF0ED2">
              <w:rPr>
                <w:rFonts w:eastAsia="Calibri" w:cs="Times New Roman"/>
                <w:szCs w:val="20"/>
                <w:lang w:val="sr-Cyrl-CS" w:eastAsia="sr-Latn-CS"/>
              </w:rPr>
              <w:t>Редовни професор</w:t>
            </w:r>
          </w:p>
        </w:tc>
      </w:tr>
      <w:tr w:rsidR="00CF0ED2" w:rsidRPr="00CF0ED2" w:rsidTr="007340A0">
        <w:trPr>
          <w:trHeight w:val="227"/>
          <w:jc w:val="center"/>
        </w:trPr>
        <w:tc>
          <w:tcPr>
            <w:tcW w:w="4216" w:type="dxa"/>
            <w:gridSpan w:val="3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CF0ED2">
              <w:rPr>
                <w:rFonts w:eastAsia="Calibri" w:cs="Times New Roman"/>
                <w:b/>
                <w:sz w:val="22"/>
                <w:szCs w:val="20"/>
                <w:lang w:val="sr-Cyrl-CS" w:eastAsia="sr-Latn-CS"/>
              </w:rPr>
              <w:t>Ужа научна област</w:t>
            </w:r>
          </w:p>
        </w:tc>
        <w:tc>
          <w:tcPr>
            <w:tcW w:w="6519" w:type="dxa"/>
            <w:gridSpan w:val="5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CF0ED2">
              <w:rPr>
                <w:rFonts w:eastAsia="Calibri" w:cs="Times New Roman"/>
                <w:sz w:val="22"/>
                <w:szCs w:val="20"/>
                <w:shd w:val="clear" w:color="auto" w:fill="FFFFFF"/>
                <w:lang w:val="ru-RU" w:eastAsia="sr-Latn-CS"/>
              </w:rPr>
              <w:t>Методика наставе српског језика и књижевности</w:t>
            </w:r>
          </w:p>
        </w:tc>
      </w:tr>
      <w:tr w:rsidR="00CF0ED2" w:rsidRPr="00CF0ED2" w:rsidTr="007340A0">
        <w:trPr>
          <w:trHeight w:val="227"/>
          <w:jc w:val="center"/>
        </w:trPr>
        <w:tc>
          <w:tcPr>
            <w:tcW w:w="2956" w:type="dxa"/>
            <w:gridSpan w:val="2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Cs w:val="20"/>
                <w:lang w:val="sr-Cyrl-CS" w:eastAsia="sr-Latn-CS"/>
              </w:rPr>
            </w:pPr>
            <w:r w:rsidRPr="00CF0ED2">
              <w:rPr>
                <w:rFonts w:eastAsia="Calibri" w:cs="Times New Roman"/>
                <w:b/>
                <w:szCs w:val="20"/>
                <w:lang w:val="sr-Cyrl-CS" w:eastAsia="sr-Latn-CS"/>
              </w:rPr>
              <w:t>Академска каријера</w:t>
            </w:r>
          </w:p>
        </w:tc>
        <w:tc>
          <w:tcPr>
            <w:tcW w:w="1260" w:type="dxa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Cs w:val="20"/>
                <w:lang w:val="sr-Cyrl-CS" w:eastAsia="sr-Latn-CS"/>
              </w:rPr>
            </w:pPr>
            <w:r w:rsidRPr="00CF0ED2">
              <w:rPr>
                <w:rFonts w:eastAsia="Calibri" w:cs="Times New Roman"/>
                <w:szCs w:val="20"/>
                <w:lang w:val="sr-Cyrl-CS" w:eastAsia="sr-Latn-CS"/>
              </w:rPr>
              <w:t xml:space="preserve">Година </w:t>
            </w:r>
          </w:p>
        </w:tc>
        <w:tc>
          <w:tcPr>
            <w:tcW w:w="3960" w:type="dxa"/>
            <w:gridSpan w:val="2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Cs w:val="20"/>
                <w:lang w:val="sr-Cyrl-CS" w:eastAsia="sr-Latn-CS"/>
              </w:rPr>
            </w:pPr>
            <w:r w:rsidRPr="00CF0ED2">
              <w:rPr>
                <w:rFonts w:eastAsia="Calibri" w:cs="Times New Roman"/>
                <w:szCs w:val="20"/>
                <w:lang w:val="sr-Cyrl-CS" w:eastAsia="sr-Latn-CS"/>
              </w:rPr>
              <w:t xml:space="preserve">Институција </w:t>
            </w:r>
          </w:p>
        </w:tc>
        <w:tc>
          <w:tcPr>
            <w:tcW w:w="2559" w:type="dxa"/>
            <w:gridSpan w:val="3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CF0ED2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Област </w:t>
            </w:r>
          </w:p>
        </w:tc>
      </w:tr>
      <w:tr w:rsidR="00CF0ED2" w:rsidRPr="00CF0ED2" w:rsidTr="007340A0">
        <w:trPr>
          <w:trHeight w:val="227"/>
          <w:jc w:val="center"/>
        </w:trPr>
        <w:tc>
          <w:tcPr>
            <w:tcW w:w="2956" w:type="dxa"/>
            <w:gridSpan w:val="2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CF0ED2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Избор у звање</w:t>
            </w:r>
          </w:p>
        </w:tc>
        <w:tc>
          <w:tcPr>
            <w:tcW w:w="1260" w:type="dxa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CF0ED2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2014.</w:t>
            </w:r>
          </w:p>
        </w:tc>
        <w:tc>
          <w:tcPr>
            <w:tcW w:w="3960" w:type="dxa"/>
            <w:gridSpan w:val="2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ascii="Times NR" w:eastAsia="Calibri" w:hAnsi="Times NR" w:cs="Times NR"/>
                <w:bCs/>
                <w:sz w:val="20"/>
                <w:szCs w:val="20"/>
                <w:lang w:val="ru-RU" w:eastAsia="sr-Latn-CS"/>
              </w:rPr>
            </w:pPr>
            <w:r w:rsidRPr="00CF0ED2">
              <w:rPr>
                <w:rFonts w:ascii="Times NR" w:eastAsia="Calibri" w:hAnsi="Times NR" w:cs="Times NR"/>
                <w:bCs/>
                <w:sz w:val="20"/>
                <w:szCs w:val="20"/>
                <w:lang w:val="ru-RU" w:eastAsia="sr-Latn-CS"/>
              </w:rPr>
              <w:t xml:space="preserve">Учитељски факултет, Факултет педагошких наука Универзитета у Крагујевцу </w:t>
            </w:r>
          </w:p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CF0ED2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</w:t>
            </w:r>
          </w:p>
        </w:tc>
        <w:tc>
          <w:tcPr>
            <w:tcW w:w="2559" w:type="dxa"/>
            <w:gridSpan w:val="3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CF0ED2">
              <w:rPr>
                <w:rFonts w:eastAsia="Calibri" w:cs="Times New Roman"/>
                <w:sz w:val="20"/>
                <w:szCs w:val="20"/>
                <w:shd w:val="clear" w:color="auto" w:fill="FFFFFF"/>
                <w:lang w:val="ru-RU" w:eastAsia="sr-Latn-CS"/>
              </w:rPr>
              <w:t>Методика наставе српског језика и књижевности</w:t>
            </w:r>
          </w:p>
        </w:tc>
      </w:tr>
      <w:tr w:rsidR="00CF0ED2" w:rsidRPr="00CF0ED2" w:rsidTr="007340A0">
        <w:trPr>
          <w:trHeight w:val="638"/>
          <w:jc w:val="center"/>
        </w:trPr>
        <w:tc>
          <w:tcPr>
            <w:tcW w:w="2956" w:type="dxa"/>
            <w:gridSpan w:val="2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CF0ED2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Докторат</w:t>
            </w:r>
          </w:p>
        </w:tc>
        <w:tc>
          <w:tcPr>
            <w:tcW w:w="1260" w:type="dxa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CF0ED2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2005.</w:t>
            </w:r>
          </w:p>
        </w:tc>
        <w:tc>
          <w:tcPr>
            <w:tcW w:w="3960" w:type="dxa"/>
            <w:gridSpan w:val="2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CF0ED2">
              <w:rPr>
                <w:rFonts w:eastAsia="Calibri" w:cs="Times New Roman"/>
                <w:sz w:val="20"/>
                <w:szCs w:val="20"/>
                <w:shd w:val="clear" w:color="auto" w:fill="FFFFFF"/>
                <w:lang w:val="ru-RU" w:eastAsia="sr-Latn-CS"/>
              </w:rPr>
              <w:t>Универзитет у Бањалуци -Филозофски факултет</w:t>
            </w:r>
          </w:p>
        </w:tc>
        <w:tc>
          <w:tcPr>
            <w:tcW w:w="2559" w:type="dxa"/>
            <w:gridSpan w:val="3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CF0ED2">
              <w:rPr>
                <w:rFonts w:eastAsia="Calibri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Књижевност</w:t>
            </w:r>
          </w:p>
        </w:tc>
      </w:tr>
      <w:tr w:rsidR="00CF0ED2" w:rsidRPr="00CF0ED2" w:rsidTr="007340A0">
        <w:trPr>
          <w:trHeight w:val="227"/>
          <w:jc w:val="center"/>
        </w:trPr>
        <w:tc>
          <w:tcPr>
            <w:tcW w:w="2956" w:type="dxa"/>
            <w:gridSpan w:val="2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CF0ED2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Диплома</w:t>
            </w:r>
          </w:p>
        </w:tc>
        <w:tc>
          <w:tcPr>
            <w:tcW w:w="1260" w:type="dxa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CF0ED2">
              <w:rPr>
                <w:rFonts w:eastAsia="Calibri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1976.</w:t>
            </w:r>
          </w:p>
        </w:tc>
        <w:tc>
          <w:tcPr>
            <w:tcW w:w="3960" w:type="dxa"/>
            <w:gridSpan w:val="2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CF0ED2">
              <w:rPr>
                <w:rFonts w:eastAsia="Calibri" w:cs="Times New Roman"/>
                <w:sz w:val="20"/>
                <w:szCs w:val="20"/>
                <w:shd w:val="clear" w:color="auto" w:fill="FFFFFF"/>
                <w:lang w:val="ru-RU" w:eastAsia="sr-Latn-CS"/>
              </w:rPr>
              <w:t>Универзитет у Београду -Филолошки факултет</w:t>
            </w:r>
          </w:p>
        </w:tc>
        <w:tc>
          <w:tcPr>
            <w:tcW w:w="2559" w:type="dxa"/>
            <w:gridSpan w:val="3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CF0ED2">
              <w:rPr>
                <w:rFonts w:eastAsia="Calibri" w:cs="Times New Roman"/>
                <w:sz w:val="20"/>
                <w:szCs w:val="20"/>
                <w:shd w:val="clear" w:color="auto" w:fill="FFFFFF"/>
                <w:lang w:val="ru-RU" w:eastAsia="sr-Latn-CS"/>
              </w:rPr>
              <w:t>Проф. српскохрватског језика и југословенске књижевности</w:t>
            </w:r>
          </w:p>
        </w:tc>
      </w:tr>
      <w:tr w:rsidR="00CF0ED2" w:rsidRPr="00CF0ED2" w:rsidTr="007340A0">
        <w:trPr>
          <w:trHeight w:val="227"/>
          <w:jc w:val="center"/>
        </w:trPr>
        <w:tc>
          <w:tcPr>
            <w:tcW w:w="10735" w:type="dxa"/>
            <w:gridSpan w:val="8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CF0ED2">
              <w:rPr>
                <w:rFonts w:eastAsia="Calibri" w:cs="Times New Roman"/>
                <w:b/>
                <w:sz w:val="20"/>
                <w:szCs w:val="20"/>
                <w:lang w:val="sr-Cyrl-CS" w:eastAsia="sr-Latn-CS"/>
              </w:rPr>
              <w:t>Списак предмета које наставник држи у текућој школској години</w:t>
            </w:r>
          </w:p>
        </w:tc>
      </w:tr>
      <w:tr w:rsidR="00CF0ED2" w:rsidRPr="00CF0ED2" w:rsidTr="007340A0">
        <w:trPr>
          <w:trHeight w:val="227"/>
          <w:jc w:val="center"/>
        </w:trPr>
        <w:tc>
          <w:tcPr>
            <w:tcW w:w="733" w:type="dxa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CF0ED2">
              <w:rPr>
                <w:rFonts w:eastAsia="Calibri" w:cs="Times New Roman"/>
                <w:sz w:val="22"/>
                <w:lang w:val="sr-Cyrl-CS" w:eastAsia="sr-Latn-CS"/>
              </w:rPr>
              <w:t>Р.Б.</w:t>
            </w:r>
          </w:p>
        </w:tc>
        <w:tc>
          <w:tcPr>
            <w:tcW w:w="7450" w:type="dxa"/>
            <w:gridSpan w:val="5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CF0ED2">
              <w:rPr>
                <w:rFonts w:eastAsia="Calibri" w:cs="Times New Roman"/>
                <w:iCs/>
                <w:sz w:val="22"/>
                <w:lang w:val="sr-Cyrl-CS" w:eastAsia="sr-Latn-CS"/>
              </w:rPr>
              <w:t>Назив предмета</w:t>
            </w:r>
          </w:p>
        </w:tc>
        <w:tc>
          <w:tcPr>
            <w:tcW w:w="2552" w:type="dxa"/>
            <w:gridSpan w:val="2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CF0ED2">
              <w:rPr>
                <w:rFonts w:eastAsia="Calibri" w:cs="Times New Roman"/>
                <w:sz w:val="22"/>
                <w:lang w:val="sr-Cyrl-CS" w:eastAsia="sr-Latn-CS"/>
              </w:rPr>
              <w:t>Врста студија</w:t>
            </w:r>
          </w:p>
        </w:tc>
      </w:tr>
      <w:tr w:rsidR="00CF0ED2" w:rsidRPr="00CF0ED2" w:rsidTr="007340A0">
        <w:trPr>
          <w:trHeight w:val="227"/>
          <w:jc w:val="center"/>
        </w:trPr>
        <w:tc>
          <w:tcPr>
            <w:tcW w:w="733" w:type="dxa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CF0ED2">
              <w:rPr>
                <w:rFonts w:eastAsia="Calibri" w:cs="Times New Roman"/>
                <w:sz w:val="22"/>
                <w:lang w:val="sr-Cyrl-CS" w:eastAsia="sr-Latn-CS"/>
              </w:rPr>
              <w:t>1</w:t>
            </w:r>
          </w:p>
        </w:tc>
        <w:tc>
          <w:tcPr>
            <w:tcW w:w="7450" w:type="dxa"/>
            <w:gridSpan w:val="5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CF0ED2">
              <w:rPr>
                <w:rFonts w:eastAsia="Calibri" w:cs="Times New Roman"/>
                <w:sz w:val="22"/>
                <w:shd w:val="clear" w:color="auto" w:fill="FFFFFF"/>
                <w:lang w:val="ru-RU" w:eastAsia="sr-Latn-CS"/>
              </w:rPr>
              <w:t>Методика наставе српског језика и књижевности</w:t>
            </w:r>
          </w:p>
        </w:tc>
        <w:tc>
          <w:tcPr>
            <w:tcW w:w="2552" w:type="dxa"/>
            <w:gridSpan w:val="2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CF0ED2">
              <w:rPr>
                <w:rFonts w:eastAsia="Calibri" w:cs="Times New Roman"/>
                <w:sz w:val="22"/>
                <w:lang w:val="sr-Cyrl-CS" w:eastAsia="sr-Latn-CS"/>
              </w:rPr>
              <w:t>ОАС</w:t>
            </w:r>
          </w:p>
        </w:tc>
      </w:tr>
      <w:tr w:rsidR="00CF0ED2" w:rsidRPr="00CF0ED2" w:rsidTr="007340A0">
        <w:trPr>
          <w:trHeight w:val="227"/>
          <w:jc w:val="center"/>
        </w:trPr>
        <w:tc>
          <w:tcPr>
            <w:tcW w:w="733" w:type="dxa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CF0ED2">
              <w:rPr>
                <w:rFonts w:eastAsia="Calibri" w:cs="Times New Roman"/>
                <w:sz w:val="22"/>
                <w:lang w:val="sr-Cyrl-CS" w:eastAsia="sr-Latn-CS"/>
              </w:rPr>
              <w:t>2</w:t>
            </w:r>
          </w:p>
        </w:tc>
        <w:tc>
          <w:tcPr>
            <w:tcW w:w="7450" w:type="dxa"/>
            <w:gridSpan w:val="5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CF0ED2">
              <w:rPr>
                <w:rFonts w:eastAsia="Calibri" w:cs="Times New Roman"/>
                <w:sz w:val="22"/>
                <w:shd w:val="clear" w:color="auto" w:fill="FFFFFF"/>
                <w:lang w:val="sr-Latn-CS" w:eastAsia="sr-Latn-CS"/>
              </w:rPr>
              <w:t>Књижевни жанр у настави</w:t>
            </w:r>
          </w:p>
        </w:tc>
        <w:tc>
          <w:tcPr>
            <w:tcW w:w="2552" w:type="dxa"/>
            <w:gridSpan w:val="2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Latn-CS" w:eastAsia="sr-Latn-CS"/>
              </w:rPr>
            </w:pPr>
            <w:r w:rsidRPr="00CF0ED2">
              <w:rPr>
                <w:rFonts w:eastAsia="Calibri" w:cs="Times New Roman"/>
                <w:sz w:val="22"/>
                <w:lang w:val="sr-Cyrl-CS" w:eastAsia="sr-Latn-CS"/>
              </w:rPr>
              <w:t>ОАС</w:t>
            </w:r>
          </w:p>
        </w:tc>
      </w:tr>
      <w:tr w:rsidR="00CF0ED2" w:rsidRPr="00CF0ED2" w:rsidTr="007340A0">
        <w:trPr>
          <w:trHeight w:val="227"/>
          <w:jc w:val="center"/>
        </w:trPr>
        <w:tc>
          <w:tcPr>
            <w:tcW w:w="733" w:type="dxa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CF0ED2">
              <w:rPr>
                <w:rFonts w:eastAsia="Calibri" w:cs="Times New Roman"/>
                <w:sz w:val="22"/>
                <w:lang w:val="sr-Cyrl-CS" w:eastAsia="sr-Latn-CS"/>
              </w:rPr>
              <w:t>3</w:t>
            </w:r>
          </w:p>
        </w:tc>
        <w:tc>
          <w:tcPr>
            <w:tcW w:w="7450" w:type="dxa"/>
            <w:gridSpan w:val="5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CF0ED2">
              <w:rPr>
                <w:rFonts w:eastAsia="Calibri" w:cs="Times New Roman"/>
                <w:sz w:val="22"/>
                <w:shd w:val="clear" w:color="auto" w:fill="FFFFFF"/>
                <w:lang w:val="ru-RU" w:eastAsia="sr-Latn-CS"/>
              </w:rPr>
              <w:t>Настава граматике у основној школи</w:t>
            </w:r>
          </w:p>
        </w:tc>
        <w:tc>
          <w:tcPr>
            <w:tcW w:w="2552" w:type="dxa"/>
            <w:gridSpan w:val="2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Latn-CS" w:eastAsia="sr-Latn-CS"/>
              </w:rPr>
            </w:pPr>
            <w:r w:rsidRPr="00CF0ED2">
              <w:rPr>
                <w:rFonts w:eastAsia="Calibri" w:cs="Times New Roman"/>
                <w:sz w:val="22"/>
                <w:lang w:val="sr-Cyrl-CS" w:eastAsia="sr-Latn-CS"/>
              </w:rPr>
              <w:t>ОАС</w:t>
            </w:r>
          </w:p>
        </w:tc>
      </w:tr>
      <w:tr w:rsidR="00CF0ED2" w:rsidRPr="00CF0ED2" w:rsidTr="007340A0">
        <w:trPr>
          <w:trHeight w:val="227"/>
          <w:jc w:val="center"/>
        </w:trPr>
        <w:tc>
          <w:tcPr>
            <w:tcW w:w="733" w:type="dxa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CF0ED2">
              <w:rPr>
                <w:rFonts w:eastAsia="Calibri" w:cs="Times New Roman"/>
                <w:sz w:val="22"/>
                <w:lang w:val="sr-Cyrl-CS" w:eastAsia="sr-Latn-CS"/>
              </w:rPr>
              <w:t>4</w:t>
            </w:r>
          </w:p>
        </w:tc>
        <w:tc>
          <w:tcPr>
            <w:tcW w:w="7450" w:type="dxa"/>
            <w:gridSpan w:val="5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ru-RU" w:eastAsia="sr-Latn-CS"/>
              </w:rPr>
            </w:pPr>
            <w:r w:rsidRPr="00CF0ED2">
              <w:rPr>
                <w:rFonts w:eastAsia="Calibri" w:cs="Times New Roman"/>
                <w:sz w:val="22"/>
                <w:shd w:val="clear" w:color="auto" w:fill="FFFFFF"/>
                <w:lang w:val="ru-RU" w:eastAsia="sr-Latn-CS"/>
              </w:rPr>
              <w:t>Језичке игре у говорном развоју</w:t>
            </w:r>
          </w:p>
        </w:tc>
        <w:tc>
          <w:tcPr>
            <w:tcW w:w="2552" w:type="dxa"/>
            <w:gridSpan w:val="2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CF0ED2">
              <w:rPr>
                <w:rFonts w:eastAsia="Calibri" w:cs="Times New Roman"/>
                <w:sz w:val="22"/>
                <w:lang w:val="sr-Cyrl-CS" w:eastAsia="sr-Latn-CS"/>
              </w:rPr>
              <w:t>ОАС</w:t>
            </w:r>
          </w:p>
        </w:tc>
      </w:tr>
      <w:tr w:rsidR="00CF0ED2" w:rsidRPr="00CF0ED2" w:rsidTr="007340A0">
        <w:trPr>
          <w:trHeight w:val="227"/>
          <w:jc w:val="center"/>
        </w:trPr>
        <w:tc>
          <w:tcPr>
            <w:tcW w:w="733" w:type="dxa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CF0ED2">
              <w:rPr>
                <w:rFonts w:eastAsia="Calibri" w:cs="Times New Roman"/>
                <w:sz w:val="22"/>
                <w:lang w:val="sr-Cyrl-CS" w:eastAsia="sr-Latn-CS"/>
              </w:rPr>
              <w:t>5</w:t>
            </w:r>
          </w:p>
        </w:tc>
        <w:tc>
          <w:tcPr>
            <w:tcW w:w="7450" w:type="dxa"/>
            <w:gridSpan w:val="5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hd w:val="clear" w:color="auto" w:fill="FFFFFF"/>
                <w:lang w:val="sr-Latn-CS" w:eastAsia="sr-Latn-CS"/>
              </w:rPr>
            </w:pPr>
            <w:r w:rsidRPr="00CF0ED2">
              <w:rPr>
                <w:rFonts w:eastAsia="Calibri" w:cs="Times New Roman"/>
                <w:sz w:val="22"/>
                <w:shd w:val="clear" w:color="auto" w:fill="FFFFFF"/>
                <w:lang w:val="sr-Latn-CS" w:eastAsia="sr-Latn-CS"/>
              </w:rPr>
              <w:t>Методика развоја говора</w:t>
            </w:r>
          </w:p>
        </w:tc>
        <w:tc>
          <w:tcPr>
            <w:tcW w:w="2552" w:type="dxa"/>
            <w:gridSpan w:val="2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CF0ED2">
              <w:rPr>
                <w:rFonts w:eastAsia="Calibri" w:cs="Times New Roman"/>
                <w:sz w:val="22"/>
                <w:lang w:val="sr-Cyrl-CS" w:eastAsia="sr-Latn-CS"/>
              </w:rPr>
              <w:t>ОАС</w:t>
            </w:r>
          </w:p>
        </w:tc>
      </w:tr>
      <w:tr w:rsidR="00CF0ED2" w:rsidRPr="00CF0ED2" w:rsidTr="007340A0">
        <w:trPr>
          <w:trHeight w:val="227"/>
          <w:jc w:val="center"/>
        </w:trPr>
        <w:tc>
          <w:tcPr>
            <w:tcW w:w="733" w:type="dxa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CF0ED2">
              <w:rPr>
                <w:rFonts w:eastAsia="Calibri" w:cs="Times New Roman"/>
                <w:sz w:val="22"/>
                <w:lang w:val="sr-Cyrl-CS" w:eastAsia="sr-Latn-CS"/>
              </w:rPr>
              <w:t>6</w:t>
            </w:r>
          </w:p>
        </w:tc>
        <w:tc>
          <w:tcPr>
            <w:tcW w:w="7450" w:type="dxa"/>
            <w:gridSpan w:val="5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hd w:val="clear" w:color="auto" w:fill="FFFFFF"/>
                <w:lang w:val="ru-RU" w:eastAsia="sr-Latn-CS"/>
              </w:rPr>
            </w:pPr>
            <w:r w:rsidRPr="00CF0ED2">
              <w:rPr>
                <w:rFonts w:eastAsia="Calibri" w:cs="Times New Roman"/>
                <w:sz w:val="22"/>
                <w:shd w:val="clear" w:color="auto" w:fill="FFFFFF"/>
                <w:lang w:val="ru-RU" w:eastAsia="sr-Latn-CS"/>
              </w:rPr>
              <w:t>Стваралачка настава језика и књижевности</w:t>
            </w:r>
          </w:p>
        </w:tc>
        <w:tc>
          <w:tcPr>
            <w:tcW w:w="2552" w:type="dxa"/>
            <w:gridSpan w:val="2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CF0ED2">
              <w:rPr>
                <w:rFonts w:eastAsia="Calibri" w:cs="Times New Roman"/>
                <w:sz w:val="22"/>
                <w:lang w:val="sr-Cyrl-CS" w:eastAsia="sr-Latn-CS"/>
              </w:rPr>
              <w:t>МАС</w:t>
            </w:r>
          </w:p>
        </w:tc>
      </w:tr>
      <w:tr w:rsidR="00CF0ED2" w:rsidRPr="00CF0ED2" w:rsidTr="007340A0">
        <w:trPr>
          <w:trHeight w:val="227"/>
          <w:jc w:val="center"/>
        </w:trPr>
        <w:tc>
          <w:tcPr>
            <w:tcW w:w="733" w:type="dxa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CF0ED2">
              <w:rPr>
                <w:rFonts w:eastAsia="Calibri" w:cs="Times New Roman"/>
                <w:sz w:val="22"/>
                <w:lang w:val="sr-Cyrl-CS" w:eastAsia="sr-Latn-CS"/>
              </w:rPr>
              <w:t>7</w:t>
            </w:r>
          </w:p>
        </w:tc>
        <w:tc>
          <w:tcPr>
            <w:tcW w:w="7450" w:type="dxa"/>
            <w:gridSpan w:val="5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hd w:val="clear" w:color="auto" w:fill="FFFFFF"/>
                <w:lang w:val="ru-RU" w:eastAsia="sr-Latn-CS"/>
              </w:rPr>
            </w:pPr>
            <w:r w:rsidRPr="00CF0ED2">
              <w:rPr>
                <w:rFonts w:eastAsia="Calibri" w:cs="Times New Roman"/>
                <w:sz w:val="22"/>
                <w:shd w:val="clear" w:color="auto" w:fill="FFFFFF"/>
                <w:lang w:val="ru-RU" w:eastAsia="sr-Latn-CS"/>
              </w:rPr>
              <w:t>Језичке игре у говорном развоју</w:t>
            </w:r>
          </w:p>
        </w:tc>
        <w:tc>
          <w:tcPr>
            <w:tcW w:w="2552" w:type="dxa"/>
            <w:gridSpan w:val="2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CF0ED2">
              <w:rPr>
                <w:rFonts w:eastAsia="Calibri" w:cs="Times New Roman"/>
                <w:sz w:val="22"/>
                <w:lang w:val="sr-Cyrl-CS" w:eastAsia="sr-Latn-CS"/>
              </w:rPr>
              <w:t>МАС</w:t>
            </w:r>
          </w:p>
        </w:tc>
      </w:tr>
      <w:tr w:rsidR="00CF0ED2" w:rsidRPr="00CF0ED2" w:rsidTr="007340A0">
        <w:trPr>
          <w:trHeight w:val="278"/>
          <w:jc w:val="center"/>
        </w:trPr>
        <w:tc>
          <w:tcPr>
            <w:tcW w:w="10735" w:type="dxa"/>
            <w:gridSpan w:val="8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b/>
                <w:sz w:val="20"/>
                <w:szCs w:val="20"/>
                <w:lang w:val="sr-Cyrl-CS" w:eastAsia="sr-Latn-CS"/>
              </w:rPr>
            </w:pPr>
            <w:r w:rsidRPr="00CF0ED2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Најзначајнији радови </w:t>
            </w:r>
            <w:r w:rsidRPr="00CF0ED2">
              <w:rPr>
                <w:rFonts w:eastAsia="Calibri" w:cs="Times New Roman"/>
                <w:b/>
                <w:sz w:val="20"/>
                <w:szCs w:val="20"/>
                <w:lang w:val="sr-Cyrl-CS" w:eastAsia="sr-Latn-CS"/>
              </w:rPr>
              <w:t xml:space="preserve"> у складу са захтевима допунских стандарда за дато поље (минимално 10 не више од 20)</w:t>
            </w:r>
          </w:p>
        </w:tc>
      </w:tr>
      <w:tr w:rsidR="00CF0ED2" w:rsidRPr="00CF0ED2" w:rsidTr="007340A0">
        <w:trPr>
          <w:trHeight w:val="227"/>
          <w:jc w:val="center"/>
        </w:trPr>
        <w:tc>
          <w:tcPr>
            <w:tcW w:w="733" w:type="dxa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  <w:lang w:val="sr-Cyrl-RS" w:eastAsia="sr-Latn-CS"/>
              </w:rPr>
            </w:pPr>
            <w:r w:rsidRPr="00CF0ED2">
              <w:rPr>
                <w:rFonts w:eastAsia="Calibri" w:cs="Times New Roman"/>
                <w:sz w:val="20"/>
                <w:szCs w:val="20"/>
                <w:lang w:val="sr-Cyrl-RS" w:eastAsia="sr-Latn-CS"/>
              </w:rPr>
              <w:t>1.</w:t>
            </w:r>
          </w:p>
        </w:tc>
        <w:tc>
          <w:tcPr>
            <w:tcW w:w="8793" w:type="dxa"/>
            <w:gridSpan w:val="6"/>
            <w:shd w:val="clear" w:color="auto" w:fill="auto"/>
          </w:tcPr>
          <w:p w:rsidR="00CF0ED2" w:rsidRPr="00CF0ED2" w:rsidRDefault="00CF0ED2" w:rsidP="00CF0ED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="Calibri" w:cs="Times New Roman"/>
                <w:sz w:val="22"/>
                <w:highlight w:val="yellow"/>
                <w:lang w:val="sr-Latn-RS" w:eastAsia="sr-Latn-CS"/>
              </w:rPr>
            </w:pPr>
            <w:r w:rsidRPr="00CF0ED2">
              <w:rPr>
                <w:rFonts w:eastAsia="Calibri" w:cs="Times New Roman"/>
                <w:sz w:val="22"/>
                <w:szCs w:val="20"/>
                <w:lang w:val="sr-Latn-CS" w:eastAsia="sr-Latn-CS"/>
              </w:rPr>
              <w:t>Росић, Т. (2013). Иманентно-методичко тумачење песничког текста, Зборник радова Наука и традиција; Пале: Универзитет у Источном Сарајеву, Филозофски факултет, стр. 1099–1111.</w:t>
            </w:r>
          </w:p>
        </w:tc>
        <w:tc>
          <w:tcPr>
            <w:tcW w:w="1209" w:type="dxa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R" w:eastAsia="Calibri" w:hAnsi="Times NR" w:cs="Times NR"/>
                <w:iCs/>
                <w:sz w:val="22"/>
                <w:szCs w:val="20"/>
                <w:highlight w:val="yellow"/>
                <w:lang w:val="ru-RU" w:eastAsia="sr-Latn-CS"/>
              </w:rPr>
            </w:pPr>
            <w:r w:rsidRPr="00CF0ED2">
              <w:rPr>
                <w:rFonts w:eastAsia="Calibri" w:cs="Times New Roman"/>
                <w:sz w:val="22"/>
                <w:szCs w:val="20"/>
                <w:lang w:val="sr-Latn-CS" w:eastAsia="sr-Latn-CS"/>
              </w:rPr>
              <w:t>М14</w:t>
            </w:r>
          </w:p>
        </w:tc>
      </w:tr>
      <w:tr w:rsidR="00CF0ED2" w:rsidRPr="00CF0ED2" w:rsidTr="007340A0">
        <w:trPr>
          <w:trHeight w:val="227"/>
          <w:jc w:val="center"/>
        </w:trPr>
        <w:tc>
          <w:tcPr>
            <w:tcW w:w="733" w:type="dxa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  <w:lang w:val="sr-Cyrl-RS" w:eastAsia="sr-Latn-CS"/>
              </w:rPr>
            </w:pPr>
            <w:r w:rsidRPr="00CF0ED2">
              <w:rPr>
                <w:rFonts w:eastAsia="Calibri" w:cs="Times New Roman"/>
                <w:sz w:val="20"/>
                <w:szCs w:val="20"/>
                <w:lang w:val="sr-Cyrl-RS" w:eastAsia="sr-Latn-CS"/>
              </w:rPr>
              <w:t>2.</w:t>
            </w:r>
          </w:p>
        </w:tc>
        <w:tc>
          <w:tcPr>
            <w:tcW w:w="8793" w:type="dxa"/>
            <w:gridSpan w:val="6"/>
            <w:shd w:val="clear" w:color="auto" w:fill="auto"/>
          </w:tcPr>
          <w:p w:rsidR="00CF0ED2" w:rsidRPr="00CF0ED2" w:rsidRDefault="00CF0ED2" w:rsidP="00CF0ED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Latn-CS" w:eastAsia="sr-Latn-CS"/>
              </w:rPr>
            </w:pPr>
            <w:r w:rsidRPr="00CF0ED2">
              <w:rPr>
                <w:rFonts w:eastAsia="Calibri" w:cs="Times New Roman"/>
                <w:sz w:val="22"/>
                <w:lang w:val="sr-Cyrl-CS" w:eastAsia="sr-Latn-CS"/>
              </w:rPr>
              <w:t xml:space="preserve">Росић, Т. (2011). Настава књижевности у реконституисаном систему српске књижевности, </w:t>
            </w:r>
            <w:r w:rsidRPr="00CF0ED2">
              <w:rPr>
                <w:rFonts w:eastAsia="Calibri" w:cs="Times New Roman"/>
                <w:i/>
                <w:sz w:val="22"/>
                <w:lang w:val="sr-Cyrl-CS" w:eastAsia="sr-Latn-CS"/>
              </w:rPr>
              <w:t>Наука и политика</w:t>
            </w:r>
            <w:r w:rsidRPr="00CF0ED2">
              <w:rPr>
                <w:rFonts w:eastAsia="Calibri" w:cs="Times New Roman"/>
                <w:sz w:val="22"/>
                <w:lang w:val="sr-Cyrl-CS" w:eastAsia="sr-Latn-CS"/>
              </w:rPr>
              <w:t>, зборник радова, књ. 5, том 1. Универзитет у Источном Сарајеву, Филозофски факултет Пале, стр. 393-407</w:t>
            </w:r>
            <w:r w:rsidRPr="00CF0ED2">
              <w:rPr>
                <w:rFonts w:eastAsia="Calibri" w:cs="Times New Roman"/>
                <w:sz w:val="22"/>
                <w:lang w:val="sr-Latn-RS" w:eastAsia="sr-Latn-CS"/>
              </w:rPr>
              <w:t>.</w:t>
            </w:r>
          </w:p>
        </w:tc>
        <w:tc>
          <w:tcPr>
            <w:tcW w:w="1209" w:type="dxa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Latn-CS" w:eastAsia="sr-Latn-CS"/>
              </w:rPr>
            </w:pPr>
            <w:r w:rsidRPr="00CF0ED2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М14</w:t>
            </w:r>
          </w:p>
        </w:tc>
      </w:tr>
      <w:tr w:rsidR="00CF0ED2" w:rsidRPr="00CF0ED2" w:rsidTr="007340A0">
        <w:trPr>
          <w:trHeight w:val="227"/>
          <w:jc w:val="center"/>
        </w:trPr>
        <w:tc>
          <w:tcPr>
            <w:tcW w:w="733" w:type="dxa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  <w:lang w:val="sr-Cyrl-RS" w:eastAsia="sr-Latn-CS"/>
              </w:rPr>
            </w:pPr>
            <w:r w:rsidRPr="00CF0ED2">
              <w:rPr>
                <w:rFonts w:eastAsia="Calibri" w:cs="Times New Roman"/>
                <w:sz w:val="20"/>
                <w:szCs w:val="20"/>
                <w:lang w:val="sr-Cyrl-RS" w:eastAsia="sr-Latn-CS"/>
              </w:rPr>
              <w:t>3.</w:t>
            </w:r>
          </w:p>
        </w:tc>
        <w:tc>
          <w:tcPr>
            <w:tcW w:w="8793" w:type="dxa"/>
            <w:gridSpan w:val="6"/>
            <w:shd w:val="clear" w:color="auto" w:fill="auto"/>
          </w:tcPr>
          <w:p w:rsidR="00CF0ED2" w:rsidRPr="00CF0ED2" w:rsidRDefault="00CF0ED2" w:rsidP="00CF0ED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Latn-CS" w:eastAsia="sr-Latn-CS"/>
              </w:rPr>
            </w:pPr>
            <w:r w:rsidRPr="00CF0ED2">
              <w:rPr>
                <w:rFonts w:eastAsia="Calibri" w:cs="Times New Roman"/>
                <w:sz w:val="22"/>
                <w:szCs w:val="20"/>
                <w:lang w:val="sr-Latn-CS" w:eastAsia="sr-Latn-CS"/>
              </w:rPr>
              <w:t xml:space="preserve">Росић, Т. (2010). Методички приступ етици части у причама из туђине, Зборник  Интердисциплинарност и јединство савремене науке. Источно Сарајево: Филозофски факултет Пале, том 1, стр. 351–356. </w:t>
            </w:r>
          </w:p>
        </w:tc>
        <w:tc>
          <w:tcPr>
            <w:tcW w:w="1209" w:type="dxa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Latn-CS" w:eastAsia="sr-Latn-CS"/>
              </w:rPr>
            </w:pPr>
            <w:r w:rsidRPr="00CF0ED2">
              <w:rPr>
                <w:rFonts w:eastAsia="Calibri" w:cs="Times New Roman"/>
                <w:sz w:val="22"/>
                <w:szCs w:val="20"/>
                <w:lang w:val="sr-Latn-CS" w:eastAsia="sr-Latn-CS"/>
              </w:rPr>
              <w:t>М14</w:t>
            </w:r>
          </w:p>
        </w:tc>
      </w:tr>
      <w:tr w:rsidR="00CF0ED2" w:rsidRPr="00CF0ED2" w:rsidTr="007340A0">
        <w:trPr>
          <w:trHeight w:val="227"/>
          <w:jc w:val="center"/>
        </w:trPr>
        <w:tc>
          <w:tcPr>
            <w:tcW w:w="733" w:type="dxa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  <w:lang w:val="sr-Cyrl-RS" w:eastAsia="sr-Latn-CS"/>
              </w:rPr>
            </w:pPr>
            <w:r w:rsidRPr="00CF0ED2">
              <w:rPr>
                <w:rFonts w:eastAsia="Calibri" w:cs="Times New Roman"/>
                <w:sz w:val="20"/>
                <w:szCs w:val="20"/>
                <w:lang w:val="sr-Cyrl-RS" w:eastAsia="sr-Latn-CS"/>
              </w:rPr>
              <w:t>4</w:t>
            </w:r>
            <w:r w:rsidRPr="00CF0ED2">
              <w:rPr>
                <w:rFonts w:eastAsia="Calibri" w:cs="Times New Roman"/>
                <w:sz w:val="20"/>
                <w:szCs w:val="20"/>
                <w:lang w:val="sr-Latn-RS" w:eastAsia="sr-Latn-CS"/>
              </w:rPr>
              <w:t>.</w:t>
            </w:r>
          </w:p>
        </w:tc>
        <w:tc>
          <w:tcPr>
            <w:tcW w:w="8793" w:type="dxa"/>
            <w:gridSpan w:val="6"/>
            <w:shd w:val="clear" w:color="auto" w:fill="auto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2"/>
                <w:lang w:val="sr-Latn-RS" w:eastAsia="sr-Latn-CS"/>
              </w:rPr>
            </w:pPr>
            <w:r w:rsidRPr="00CF0ED2">
              <w:rPr>
                <w:rFonts w:eastAsia="Calibri" w:cs="Times New Roman"/>
                <w:sz w:val="22"/>
                <w:lang w:val="sr-Cyrl-CS" w:eastAsia="sr-Latn-CS"/>
              </w:rPr>
              <w:t xml:space="preserve">Росић, Т. (2014). Лингвостилистичка анализа у школској интерпретацији песничког текста, </w:t>
            </w:r>
            <w:r w:rsidRPr="00CF0ED2">
              <w:rPr>
                <w:rFonts w:ascii="Times NR" w:eastAsia="Calibri" w:hAnsi="Times NR" w:cs="Times NR"/>
                <w:i/>
                <w:sz w:val="22"/>
                <w:lang w:val="sr-Cyrl-CS" w:eastAsia="sr-Latn-CS"/>
              </w:rPr>
              <w:t>Српски језик</w:t>
            </w:r>
            <w:r w:rsidRPr="00CF0ED2">
              <w:rPr>
                <w:rFonts w:ascii="Times NR" w:eastAsia="Calibri" w:hAnsi="Times NR" w:cs="Times NR"/>
                <w:i/>
                <w:sz w:val="22"/>
                <w:lang w:val="ru-RU" w:eastAsia="sr-Latn-CS"/>
              </w:rPr>
              <w:t xml:space="preserve"> </w:t>
            </w:r>
            <w:r w:rsidRPr="00CF0ED2">
              <w:rPr>
                <w:rFonts w:ascii="Times NR" w:eastAsia="Calibri" w:hAnsi="Times NR" w:cs="Times NR"/>
                <w:sz w:val="22"/>
                <w:lang w:val="sr-Latn-CS" w:eastAsia="sr-Latn-CS"/>
              </w:rPr>
              <w:t>XIX</w:t>
            </w:r>
            <w:r w:rsidRPr="00CF0ED2">
              <w:rPr>
                <w:rFonts w:ascii="Times NR" w:eastAsia="Calibri" w:hAnsi="Times NR" w:cs="Times NR"/>
                <w:sz w:val="22"/>
                <w:lang w:val="sr-Cyrl-CS" w:eastAsia="sr-Latn-CS"/>
              </w:rPr>
              <w:t>, Београд, 201</w:t>
            </w:r>
            <w:r w:rsidRPr="00CF0ED2">
              <w:rPr>
                <w:rFonts w:ascii="Times NR" w:eastAsia="Calibri" w:hAnsi="Times NR" w:cs="Times NR"/>
                <w:sz w:val="22"/>
                <w:lang w:val="sr-Latn-CS" w:eastAsia="sr-Latn-CS"/>
              </w:rPr>
              <w:t>4</w:t>
            </w:r>
            <w:r w:rsidRPr="00CF0ED2">
              <w:rPr>
                <w:rFonts w:ascii="Times NR" w:eastAsia="Calibri" w:hAnsi="Times NR" w:cs="Times NR"/>
                <w:sz w:val="22"/>
                <w:lang w:val="sr-Cyrl-CS" w:eastAsia="sr-Latn-CS"/>
              </w:rPr>
              <w:t xml:space="preserve">, стр. </w:t>
            </w:r>
            <w:r w:rsidRPr="00CF0ED2">
              <w:rPr>
                <w:rFonts w:ascii="Times NR" w:eastAsia="Calibri" w:hAnsi="Times NR" w:cs="Times NR"/>
                <w:sz w:val="22"/>
                <w:lang w:val="sr-Latn-CS" w:eastAsia="sr-Latn-CS"/>
              </w:rPr>
              <w:t>625</w:t>
            </w:r>
            <w:r w:rsidRPr="00CF0ED2">
              <w:rPr>
                <w:rFonts w:ascii="Times NR" w:eastAsia="Calibri" w:hAnsi="Times NR" w:cs="Times NR"/>
                <w:sz w:val="22"/>
                <w:lang w:val="sr-Cyrl-CS" w:eastAsia="sr-Latn-CS"/>
              </w:rPr>
              <w:t>5–</w:t>
            </w:r>
            <w:r w:rsidRPr="00CF0ED2">
              <w:rPr>
                <w:rFonts w:ascii="Times NR" w:eastAsia="Calibri" w:hAnsi="Times NR" w:cs="Times NR"/>
                <w:sz w:val="22"/>
                <w:lang w:val="sr-Latn-CS" w:eastAsia="sr-Latn-CS"/>
              </w:rPr>
              <w:t>635</w:t>
            </w:r>
            <w:r w:rsidRPr="00CF0ED2">
              <w:rPr>
                <w:rFonts w:ascii="Times NR" w:eastAsia="Calibri" w:hAnsi="Times NR" w:cs="Times NR"/>
                <w:sz w:val="22"/>
                <w:lang w:val="sr-Latn-RS" w:eastAsia="sr-Latn-CS"/>
              </w:rPr>
              <w:t>.</w:t>
            </w:r>
          </w:p>
        </w:tc>
        <w:tc>
          <w:tcPr>
            <w:tcW w:w="1209" w:type="dxa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CF0ED2">
              <w:rPr>
                <w:rFonts w:eastAsia="Calibri" w:cs="Times New Roman"/>
                <w:sz w:val="22"/>
                <w:szCs w:val="20"/>
                <w:lang w:val="sr-Latn-RS" w:eastAsia="sr-Latn-CS"/>
              </w:rPr>
              <w:t>M24</w:t>
            </w:r>
          </w:p>
        </w:tc>
      </w:tr>
      <w:tr w:rsidR="00CF0ED2" w:rsidRPr="00CF0ED2" w:rsidTr="007340A0">
        <w:trPr>
          <w:trHeight w:val="227"/>
          <w:jc w:val="center"/>
        </w:trPr>
        <w:tc>
          <w:tcPr>
            <w:tcW w:w="733" w:type="dxa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  <w:lang w:val="sr-Cyrl-RS" w:eastAsia="sr-Latn-CS"/>
              </w:rPr>
            </w:pPr>
            <w:r w:rsidRPr="00CF0ED2">
              <w:rPr>
                <w:rFonts w:eastAsia="Calibri" w:cs="Times New Roman"/>
                <w:sz w:val="20"/>
                <w:szCs w:val="20"/>
                <w:lang w:val="sr-Cyrl-RS" w:eastAsia="sr-Latn-CS"/>
              </w:rPr>
              <w:t>5.</w:t>
            </w:r>
          </w:p>
        </w:tc>
        <w:tc>
          <w:tcPr>
            <w:tcW w:w="8793" w:type="dxa"/>
            <w:gridSpan w:val="6"/>
            <w:shd w:val="clear" w:color="auto" w:fill="auto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R" w:eastAsia="Calibri" w:hAnsi="Times NR" w:cs="Times NR"/>
                <w:bCs/>
                <w:sz w:val="22"/>
                <w:shd w:val="clear" w:color="auto" w:fill="FFFFFF"/>
                <w:lang w:val="ru-RU" w:eastAsia="sr-Latn-CS"/>
              </w:rPr>
            </w:pPr>
            <w:r w:rsidRPr="00CF0ED2">
              <w:rPr>
                <w:rFonts w:eastAsia="Calibri" w:cs="Times New Roman"/>
                <w:sz w:val="22"/>
                <w:lang w:val="sr-Cyrl-CS" w:eastAsia="sr-Latn-CS"/>
              </w:rPr>
              <w:t xml:space="preserve">Росић, Т., </w:t>
            </w:r>
            <w:r w:rsidRPr="00CF0ED2">
              <w:rPr>
                <w:rFonts w:eastAsia="Calibri" w:cs="Times New Roman"/>
                <w:sz w:val="22"/>
                <w:lang w:val="ru-RU" w:eastAsia="sr-Latn-CS"/>
              </w:rPr>
              <w:t xml:space="preserve">Ковачевић М. </w:t>
            </w:r>
            <w:r w:rsidRPr="00CF0ED2">
              <w:rPr>
                <w:rFonts w:eastAsia="Calibri" w:cs="Times New Roman"/>
                <w:sz w:val="22"/>
                <w:lang w:val="sr-Cyrl-CS" w:eastAsia="sr-Latn-CS"/>
              </w:rPr>
              <w:t xml:space="preserve">(2013). </w:t>
            </w:r>
            <w:r w:rsidRPr="00CF0ED2">
              <w:rPr>
                <w:rFonts w:ascii="Times NR" w:eastAsia="Calibri" w:hAnsi="Times NR" w:cs="Times NR"/>
                <w:sz w:val="22"/>
                <w:lang w:val="sr-Cyrl-CS" w:eastAsia="sr-Latn-CS"/>
              </w:rPr>
              <w:t>Лингвостилистичке особитости</w:t>
            </w:r>
            <w:r w:rsidRPr="00CF0ED2">
              <w:rPr>
                <w:rFonts w:ascii="Times NR" w:eastAsia="Calibri" w:hAnsi="Times NR" w:cs="Times NR"/>
                <w:sz w:val="22"/>
                <w:lang w:val="ru-RU" w:eastAsia="sr-Latn-CS"/>
              </w:rPr>
              <w:t xml:space="preserve"> </w:t>
            </w:r>
            <w:r w:rsidRPr="00CF0ED2">
              <w:rPr>
                <w:rFonts w:ascii="Times NR" w:eastAsia="Calibri" w:hAnsi="Times NR" w:cs="Times NR"/>
                <w:sz w:val="22"/>
                <w:lang w:val="sr-Cyrl-CS" w:eastAsia="sr-Latn-CS"/>
              </w:rPr>
              <w:t xml:space="preserve">песме "Крилата свирала" Манојла Гавриловића, </w:t>
            </w:r>
            <w:r w:rsidRPr="00CF0ED2">
              <w:rPr>
                <w:rFonts w:ascii="Times NR" w:eastAsia="Calibri" w:hAnsi="Times NR" w:cs="Times NR"/>
                <w:i/>
                <w:sz w:val="22"/>
                <w:lang w:val="sr-Cyrl-CS" w:eastAsia="sr-Latn-CS"/>
              </w:rPr>
              <w:t>Српски језик</w:t>
            </w:r>
            <w:r w:rsidRPr="00CF0ED2">
              <w:rPr>
                <w:rFonts w:ascii="Times NR" w:eastAsia="Calibri" w:hAnsi="Times NR" w:cs="Times NR"/>
                <w:i/>
                <w:sz w:val="22"/>
                <w:lang w:val="ru-RU" w:eastAsia="sr-Latn-CS"/>
              </w:rPr>
              <w:t xml:space="preserve"> </w:t>
            </w:r>
            <w:r w:rsidRPr="00CF0ED2">
              <w:rPr>
                <w:rFonts w:ascii="Times NR" w:eastAsia="Calibri" w:hAnsi="Times NR" w:cs="Times NR"/>
                <w:sz w:val="22"/>
                <w:lang w:val="sr-Latn-CS" w:eastAsia="sr-Latn-CS"/>
              </w:rPr>
              <w:t>XIII</w:t>
            </w:r>
            <w:r w:rsidRPr="00CF0ED2">
              <w:rPr>
                <w:rFonts w:ascii="Times NR" w:eastAsia="Calibri" w:hAnsi="Times NR" w:cs="Times NR"/>
                <w:sz w:val="22"/>
                <w:lang w:val="sr-Cyrl-CS" w:eastAsia="sr-Latn-CS"/>
              </w:rPr>
              <w:t>, Београд, 2013, стр. 135–146</w:t>
            </w:r>
            <w:r w:rsidRPr="00CF0ED2">
              <w:rPr>
                <w:rFonts w:ascii="Times NR" w:eastAsia="Calibri" w:hAnsi="Times NR" w:cs="Times NR"/>
                <w:sz w:val="22"/>
                <w:lang w:val="sr-Latn-RS" w:eastAsia="sr-Latn-CS"/>
              </w:rPr>
              <w:t>.</w:t>
            </w:r>
            <w:r w:rsidRPr="00CF0ED2">
              <w:rPr>
                <w:rFonts w:ascii="Times NR" w:eastAsia="Calibri" w:hAnsi="Times NR" w:cs="Times NR"/>
                <w:sz w:val="22"/>
                <w:lang w:val="sr-Cyrl-CS" w:eastAsia="sr-Latn-CS"/>
              </w:rPr>
              <w:t xml:space="preserve"> </w:t>
            </w:r>
          </w:p>
        </w:tc>
        <w:tc>
          <w:tcPr>
            <w:tcW w:w="1209" w:type="dxa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CF0ED2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М24</w:t>
            </w:r>
          </w:p>
        </w:tc>
      </w:tr>
      <w:tr w:rsidR="00CF0ED2" w:rsidRPr="00CF0ED2" w:rsidTr="007340A0">
        <w:trPr>
          <w:trHeight w:val="227"/>
          <w:jc w:val="center"/>
        </w:trPr>
        <w:tc>
          <w:tcPr>
            <w:tcW w:w="733" w:type="dxa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  <w:lang w:val="sr-Cyrl-RS" w:eastAsia="sr-Latn-CS"/>
              </w:rPr>
            </w:pPr>
            <w:r w:rsidRPr="00CF0ED2">
              <w:rPr>
                <w:rFonts w:eastAsia="Calibri" w:cs="Times New Roman"/>
                <w:sz w:val="20"/>
                <w:szCs w:val="20"/>
                <w:lang w:val="sr-Cyrl-RS" w:eastAsia="sr-Latn-CS"/>
              </w:rPr>
              <w:t>6.</w:t>
            </w:r>
          </w:p>
        </w:tc>
        <w:tc>
          <w:tcPr>
            <w:tcW w:w="8793" w:type="dxa"/>
            <w:gridSpan w:val="6"/>
            <w:shd w:val="clear" w:color="auto" w:fill="auto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R" w:eastAsia="Calibri" w:hAnsi="Times NR" w:cs="Times NR"/>
                <w:bCs/>
                <w:sz w:val="22"/>
                <w:shd w:val="clear" w:color="auto" w:fill="FFFFFF"/>
                <w:lang w:val="ru-RU" w:eastAsia="sr-Latn-CS"/>
              </w:rPr>
            </w:pPr>
            <w:r w:rsidRPr="00CF0ED2">
              <w:rPr>
                <w:rFonts w:eastAsia="Calibri" w:cs="Times New Roman"/>
                <w:sz w:val="22"/>
                <w:lang w:val="sr-Cyrl-CS" w:eastAsia="sr-Latn-CS"/>
              </w:rPr>
              <w:t xml:space="preserve">Росић, Т. (2013). </w:t>
            </w:r>
            <w:r w:rsidRPr="00CF0ED2">
              <w:rPr>
                <w:rFonts w:ascii="Times NR" w:eastAsia="Calibri" w:hAnsi="Times NR" w:cs="Times NR"/>
                <w:i/>
                <w:iCs/>
                <w:sz w:val="22"/>
                <w:lang w:val="ru-RU" w:eastAsia="sr-Latn-CS"/>
              </w:rPr>
              <w:t xml:space="preserve">Врзино коло </w:t>
            </w:r>
            <w:r w:rsidRPr="00CF0ED2">
              <w:rPr>
                <w:rFonts w:ascii="Times NR" w:eastAsia="Calibri" w:hAnsi="Times NR" w:cs="Times NR"/>
                <w:sz w:val="22"/>
                <w:lang w:val="ru-RU" w:eastAsia="sr-Latn-CS"/>
              </w:rPr>
              <w:t xml:space="preserve">Јоксима Новића Оточанина, </w:t>
            </w:r>
            <w:r w:rsidRPr="00CF0ED2">
              <w:rPr>
                <w:rFonts w:ascii="Times NR" w:eastAsia="Calibri" w:hAnsi="Times NR" w:cs="Times NR"/>
                <w:bCs/>
                <w:sz w:val="22"/>
                <w:lang w:val="ru-RU" w:eastAsia="sr-Latn-CS"/>
              </w:rPr>
              <w:t xml:space="preserve">Зборник Матице српске за књижевност и језик, Нови Сад, </w:t>
            </w:r>
            <w:r w:rsidRPr="00CF0ED2">
              <w:rPr>
                <w:rFonts w:ascii="Times NR" w:eastAsia="Calibri" w:hAnsi="Times NR" w:cs="Times NR"/>
                <w:sz w:val="22"/>
                <w:lang w:val="ru-RU" w:eastAsia="sr-Latn-CS"/>
              </w:rPr>
              <w:t>вол. 61, бр. 3/2013, стр. 669-684</w:t>
            </w:r>
            <w:r w:rsidRPr="00CF0ED2">
              <w:rPr>
                <w:rFonts w:ascii="Times NR" w:eastAsia="Calibri" w:hAnsi="Times NR" w:cs="Times NR"/>
                <w:sz w:val="22"/>
                <w:lang w:val="sr-Latn-RS" w:eastAsia="sr-Latn-CS"/>
              </w:rPr>
              <w:t>.</w:t>
            </w:r>
          </w:p>
        </w:tc>
        <w:tc>
          <w:tcPr>
            <w:tcW w:w="1209" w:type="dxa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CF0ED2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М24</w:t>
            </w:r>
          </w:p>
        </w:tc>
      </w:tr>
      <w:tr w:rsidR="00CF0ED2" w:rsidRPr="00CF0ED2" w:rsidTr="007340A0">
        <w:trPr>
          <w:trHeight w:val="227"/>
          <w:jc w:val="center"/>
        </w:trPr>
        <w:tc>
          <w:tcPr>
            <w:tcW w:w="733" w:type="dxa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  <w:lang w:val="sr-Cyrl-RS" w:eastAsia="sr-Latn-CS"/>
              </w:rPr>
            </w:pPr>
            <w:r w:rsidRPr="00CF0ED2">
              <w:rPr>
                <w:rFonts w:eastAsia="Calibri" w:cs="Times New Roman"/>
                <w:sz w:val="20"/>
                <w:szCs w:val="20"/>
                <w:lang w:val="sr-Cyrl-RS" w:eastAsia="sr-Latn-CS"/>
              </w:rPr>
              <w:t>7.</w:t>
            </w:r>
          </w:p>
        </w:tc>
        <w:tc>
          <w:tcPr>
            <w:tcW w:w="8793" w:type="dxa"/>
            <w:gridSpan w:val="6"/>
            <w:shd w:val="clear" w:color="auto" w:fill="auto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2"/>
                <w:lang w:val="sr-Latn-RS" w:eastAsia="sr-Latn-CS"/>
              </w:rPr>
            </w:pPr>
            <w:r w:rsidRPr="00CF0ED2">
              <w:rPr>
                <w:rFonts w:ascii="Times NR" w:eastAsia="Calibri" w:hAnsi="Times NR" w:cs="Times NR"/>
                <w:bCs/>
                <w:sz w:val="22"/>
                <w:shd w:val="clear" w:color="auto" w:fill="FFFFFF"/>
                <w:lang w:val="ru-RU" w:eastAsia="sr-Latn-CS"/>
              </w:rPr>
              <w:t>Росић, Т. (2010): „Како је постало царство српско и московско“ Јоксима Новића Оточанина</w:t>
            </w:r>
            <w:r w:rsidRPr="00CF0ED2">
              <w:rPr>
                <w:rFonts w:ascii="Times NR" w:eastAsia="Calibri" w:hAnsi="Times NR" w:cs="Times NR"/>
                <w:sz w:val="22"/>
                <w:lang w:val="ru-RU" w:eastAsia="sr-Latn-CS"/>
              </w:rPr>
              <w:t>;</w:t>
            </w:r>
            <w:r w:rsidRPr="00CF0ED2">
              <w:rPr>
                <w:rFonts w:ascii="Times NR" w:eastAsia="Calibri" w:hAnsi="Times NR" w:cs="Times NR"/>
                <w:sz w:val="22"/>
                <w:lang w:val="sr-Cyrl-CS" w:eastAsia="sr-Latn-CS"/>
              </w:rPr>
              <w:t xml:space="preserve"> </w:t>
            </w:r>
            <w:r w:rsidRPr="00CF0ED2">
              <w:rPr>
                <w:rFonts w:ascii="Times NR" w:eastAsia="Calibri" w:hAnsi="Times NR" w:cs="Times NR"/>
                <w:bCs/>
                <w:sz w:val="22"/>
                <w:lang w:val="ru-RU" w:eastAsia="sr-Latn-CS"/>
              </w:rPr>
              <w:t xml:space="preserve">Зборник Матице српске за књижевност и језик, Нови Сад, </w:t>
            </w:r>
            <w:r w:rsidRPr="00CF0ED2">
              <w:rPr>
                <w:rFonts w:ascii="Times NR" w:eastAsia="Calibri" w:hAnsi="Times NR" w:cs="Times NR"/>
                <w:sz w:val="22"/>
                <w:lang w:val="ru-RU" w:eastAsia="sr-Latn-CS"/>
              </w:rPr>
              <w:t>вол. 58, бр. 3/2010, стр. 527</w:t>
            </w:r>
            <w:r w:rsidRPr="00CF0ED2">
              <w:rPr>
                <w:rFonts w:ascii="Times NR" w:eastAsia="Calibri" w:hAnsi="Times NR" w:cs="Times NR"/>
                <w:sz w:val="22"/>
                <w:lang w:val="sr-Cyrl-CS" w:eastAsia="sr-Latn-CS"/>
              </w:rPr>
              <w:t>–</w:t>
            </w:r>
            <w:r w:rsidRPr="00CF0ED2">
              <w:rPr>
                <w:rFonts w:ascii="Times NR" w:eastAsia="Calibri" w:hAnsi="Times NR" w:cs="Times NR"/>
                <w:sz w:val="22"/>
                <w:lang w:val="ru-RU" w:eastAsia="sr-Latn-CS"/>
              </w:rPr>
              <w:t>535</w:t>
            </w:r>
            <w:r w:rsidRPr="00CF0ED2">
              <w:rPr>
                <w:rFonts w:ascii="Times NR" w:eastAsia="Calibri" w:hAnsi="Times NR" w:cs="Times NR"/>
                <w:sz w:val="22"/>
                <w:lang w:val="sr-Latn-RS" w:eastAsia="sr-Latn-CS"/>
              </w:rPr>
              <w:t>.</w:t>
            </w:r>
          </w:p>
        </w:tc>
        <w:tc>
          <w:tcPr>
            <w:tcW w:w="1209" w:type="dxa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CF0ED2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М24</w:t>
            </w:r>
          </w:p>
        </w:tc>
      </w:tr>
      <w:tr w:rsidR="00CF0ED2" w:rsidRPr="00CF0ED2" w:rsidTr="007340A0">
        <w:trPr>
          <w:trHeight w:val="227"/>
          <w:jc w:val="center"/>
        </w:trPr>
        <w:tc>
          <w:tcPr>
            <w:tcW w:w="733" w:type="dxa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  <w:lang w:val="sr-Cyrl-RS" w:eastAsia="sr-Latn-CS"/>
              </w:rPr>
            </w:pPr>
            <w:r w:rsidRPr="00CF0ED2">
              <w:rPr>
                <w:rFonts w:eastAsia="Calibri" w:cs="Times New Roman"/>
                <w:sz w:val="20"/>
                <w:szCs w:val="20"/>
                <w:lang w:val="sr-Cyrl-RS" w:eastAsia="sr-Latn-CS"/>
              </w:rPr>
              <w:t>8.</w:t>
            </w:r>
          </w:p>
        </w:tc>
        <w:tc>
          <w:tcPr>
            <w:tcW w:w="8793" w:type="dxa"/>
            <w:gridSpan w:val="6"/>
            <w:shd w:val="clear" w:color="auto" w:fill="auto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2"/>
                <w:lang w:val="sr-Latn-RS" w:eastAsia="sr-Latn-CS"/>
              </w:rPr>
            </w:pPr>
            <w:r w:rsidRPr="00CF0ED2">
              <w:rPr>
                <w:rFonts w:eastAsia="Calibri" w:cs="Times New Roman"/>
                <w:sz w:val="22"/>
                <w:lang w:val="sr-Cyrl-CS" w:eastAsia="sr-Latn-CS"/>
              </w:rPr>
              <w:t xml:space="preserve">Росић, Т. (2009). Оријентализми и могућности њихове супституције у народним бајкама, Српски језик број </w:t>
            </w:r>
            <w:r w:rsidRPr="00CF0ED2">
              <w:rPr>
                <w:rFonts w:eastAsia="Calibri" w:cs="Times New Roman"/>
                <w:sz w:val="22"/>
                <w:lang w:val="sr-Latn-CS" w:eastAsia="sr-Latn-CS"/>
              </w:rPr>
              <w:t>XIV</w:t>
            </w:r>
            <w:r w:rsidRPr="00CF0ED2">
              <w:rPr>
                <w:rFonts w:eastAsia="Calibri" w:cs="Times New Roman"/>
                <w:sz w:val="22"/>
                <w:lang w:val="ru-RU" w:eastAsia="sr-Latn-CS"/>
              </w:rPr>
              <w:t xml:space="preserve"> / 1</w:t>
            </w:r>
            <w:r w:rsidRPr="00CF0ED2">
              <w:rPr>
                <w:rFonts w:eastAsia="Calibri" w:cs="Times New Roman"/>
                <w:sz w:val="22"/>
                <w:lang w:val="sr-Cyrl-CS" w:eastAsia="sr-Latn-CS"/>
              </w:rPr>
              <w:t>–</w:t>
            </w:r>
            <w:r w:rsidRPr="00CF0ED2">
              <w:rPr>
                <w:rFonts w:eastAsia="Calibri" w:cs="Times New Roman"/>
                <w:sz w:val="22"/>
                <w:lang w:val="ru-RU" w:eastAsia="sr-Latn-CS"/>
              </w:rPr>
              <w:t xml:space="preserve">2; </w:t>
            </w:r>
            <w:r w:rsidRPr="00CF0ED2">
              <w:rPr>
                <w:rFonts w:eastAsia="Calibri" w:cs="Times New Roman"/>
                <w:sz w:val="22"/>
                <w:lang w:val="sr-Cyrl-CS" w:eastAsia="sr-Latn-CS"/>
              </w:rPr>
              <w:t>Београд, 2009, 431–443</w:t>
            </w:r>
            <w:r w:rsidRPr="00CF0ED2">
              <w:rPr>
                <w:rFonts w:eastAsia="Calibri" w:cs="Times New Roman"/>
                <w:sz w:val="22"/>
                <w:lang w:val="sr-Latn-RS" w:eastAsia="sr-Latn-CS"/>
              </w:rPr>
              <w:t>.</w:t>
            </w:r>
          </w:p>
        </w:tc>
        <w:tc>
          <w:tcPr>
            <w:tcW w:w="1209" w:type="dxa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CF0ED2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М24</w:t>
            </w:r>
          </w:p>
        </w:tc>
      </w:tr>
      <w:tr w:rsidR="00CF0ED2" w:rsidRPr="00CF0ED2" w:rsidTr="007340A0">
        <w:trPr>
          <w:trHeight w:val="227"/>
          <w:jc w:val="center"/>
        </w:trPr>
        <w:tc>
          <w:tcPr>
            <w:tcW w:w="733" w:type="dxa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CF0ED2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9.</w:t>
            </w:r>
          </w:p>
        </w:tc>
        <w:tc>
          <w:tcPr>
            <w:tcW w:w="8793" w:type="dxa"/>
            <w:gridSpan w:val="6"/>
            <w:shd w:val="clear" w:color="auto" w:fill="auto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2"/>
                <w:lang w:val="sr-Cyrl-CS" w:eastAsia="sr-Latn-CS"/>
              </w:rPr>
            </w:pPr>
            <w:r w:rsidRPr="00CF0ED2">
              <w:rPr>
                <w:rFonts w:eastAsia="Calibri" w:cs="Times New Roman"/>
                <w:sz w:val="22"/>
                <w:szCs w:val="20"/>
                <w:lang w:val="sr-Latn-CS" w:eastAsia="sr-Latn-CS"/>
              </w:rPr>
              <w:t xml:space="preserve">Росић, T. (2014): Национална књижевност у процесу глобализације, Радови Филозофског факултета, Филозофски факултет Пале, 2014, бр. 16, књ. 1/1, стр. 73-88. </w:t>
            </w:r>
          </w:p>
        </w:tc>
        <w:tc>
          <w:tcPr>
            <w:tcW w:w="1209" w:type="dxa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Latn-RS" w:eastAsia="sr-Latn-CS"/>
              </w:rPr>
            </w:pPr>
            <w:r w:rsidRPr="00CF0ED2">
              <w:rPr>
                <w:rFonts w:eastAsia="Calibri" w:cs="Times New Roman"/>
                <w:sz w:val="22"/>
                <w:szCs w:val="20"/>
                <w:lang w:val="sr-Latn-CS" w:eastAsia="sr-Latn-CS"/>
              </w:rPr>
              <w:t>М51</w:t>
            </w:r>
          </w:p>
        </w:tc>
      </w:tr>
      <w:tr w:rsidR="00CF0ED2" w:rsidRPr="00CF0ED2" w:rsidTr="007340A0">
        <w:trPr>
          <w:trHeight w:val="227"/>
          <w:jc w:val="center"/>
        </w:trPr>
        <w:tc>
          <w:tcPr>
            <w:tcW w:w="733" w:type="dxa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CF0ED2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10.</w:t>
            </w:r>
          </w:p>
        </w:tc>
        <w:tc>
          <w:tcPr>
            <w:tcW w:w="8793" w:type="dxa"/>
            <w:gridSpan w:val="6"/>
            <w:shd w:val="clear" w:color="auto" w:fill="auto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2"/>
                <w:szCs w:val="20"/>
                <w:lang w:val="sr-Latn-CS" w:eastAsia="sr-Latn-CS"/>
              </w:rPr>
            </w:pPr>
            <w:r w:rsidRPr="00CF0ED2">
              <w:rPr>
                <w:rFonts w:ascii="Times NR" w:eastAsia="Calibri" w:hAnsi="Times NR" w:cs="Times NR"/>
                <w:sz w:val="22"/>
                <w:lang w:val="sr-Cyrl-CS" w:eastAsia="sr-Latn-CS"/>
              </w:rPr>
              <w:t>Росић, Т. (2011): Особеност структурне организације песничког текста као одређујући елемент његовог разумевања, Радови Филозофског факултета, Филозофски факултет Пале, 2011. бр. 13. књ. 1, стр. 149–155</w:t>
            </w:r>
            <w:r w:rsidRPr="00CF0ED2">
              <w:rPr>
                <w:rFonts w:ascii="Times NR" w:eastAsia="Calibri" w:hAnsi="Times NR" w:cs="Times NR"/>
                <w:sz w:val="22"/>
                <w:lang w:val="sr-Latn-RS" w:eastAsia="sr-Latn-CS"/>
              </w:rPr>
              <w:t>.</w:t>
            </w:r>
          </w:p>
        </w:tc>
        <w:tc>
          <w:tcPr>
            <w:tcW w:w="1209" w:type="dxa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Latn-CS" w:eastAsia="sr-Latn-CS"/>
              </w:rPr>
            </w:pPr>
            <w:r w:rsidRPr="00CF0ED2">
              <w:rPr>
                <w:rFonts w:eastAsia="Calibri" w:cs="Times New Roman"/>
                <w:sz w:val="22"/>
                <w:szCs w:val="20"/>
                <w:lang w:val="sr-Latn-CS" w:eastAsia="sr-Latn-CS"/>
              </w:rPr>
              <w:t>М51</w:t>
            </w:r>
          </w:p>
        </w:tc>
      </w:tr>
      <w:tr w:rsidR="00CF0ED2" w:rsidRPr="00CF0ED2" w:rsidTr="007340A0">
        <w:trPr>
          <w:trHeight w:val="227"/>
          <w:jc w:val="center"/>
        </w:trPr>
        <w:tc>
          <w:tcPr>
            <w:tcW w:w="10735" w:type="dxa"/>
            <w:gridSpan w:val="8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CF0ED2">
              <w:rPr>
                <w:rFonts w:eastAsia="Calibri" w:cs="Times New Roman"/>
                <w:b/>
                <w:sz w:val="20"/>
                <w:szCs w:val="20"/>
                <w:lang w:val="sr-Cyrl-CS" w:eastAsia="sr-Latn-CS"/>
              </w:rPr>
              <w:t>Збирни подаци научне активност наставника</w:t>
            </w:r>
          </w:p>
        </w:tc>
      </w:tr>
      <w:tr w:rsidR="00CF0ED2" w:rsidRPr="00CF0ED2" w:rsidTr="007340A0">
        <w:trPr>
          <w:trHeight w:val="227"/>
          <w:jc w:val="center"/>
        </w:trPr>
        <w:tc>
          <w:tcPr>
            <w:tcW w:w="5779" w:type="dxa"/>
            <w:gridSpan w:val="4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CF0ED2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Укупан број цитата, без аутоцитата</w:t>
            </w:r>
          </w:p>
        </w:tc>
        <w:tc>
          <w:tcPr>
            <w:tcW w:w="4956" w:type="dxa"/>
            <w:gridSpan w:val="4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Latn-CS" w:eastAsia="sr-Latn-CS"/>
              </w:rPr>
            </w:pPr>
            <w:r w:rsidRPr="00CF0ED2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/</w:t>
            </w:r>
          </w:p>
        </w:tc>
      </w:tr>
      <w:tr w:rsidR="00CF0ED2" w:rsidRPr="00CF0ED2" w:rsidTr="007340A0">
        <w:trPr>
          <w:trHeight w:val="227"/>
          <w:jc w:val="center"/>
        </w:trPr>
        <w:tc>
          <w:tcPr>
            <w:tcW w:w="5779" w:type="dxa"/>
            <w:gridSpan w:val="4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CF0ED2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Укупан број радова са SCI (или SSCI) листе</w:t>
            </w:r>
          </w:p>
        </w:tc>
        <w:tc>
          <w:tcPr>
            <w:tcW w:w="4956" w:type="dxa"/>
            <w:gridSpan w:val="4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eastAsia="sr-Latn-CS"/>
              </w:rPr>
            </w:pPr>
            <w:r w:rsidRPr="00CF0ED2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/</w:t>
            </w:r>
          </w:p>
        </w:tc>
      </w:tr>
      <w:tr w:rsidR="00CF0ED2" w:rsidRPr="00CF0ED2" w:rsidTr="007340A0">
        <w:trPr>
          <w:trHeight w:val="227"/>
          <w:jc w:val="center"/>
        </w:trPr>
        <w:tc>
          <w:tcPr>
            <w:tcW w:w="5779" w:type="dxa"/>
            <w:gridSpan w:val="4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CF0ED2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Тренутно учешће на пројектима</w:t>
            </w:r>
          </w:p>
        </w:tc>
        <w:tc>
          <w:tcPr>
            <w:tcW w:w="2404" w:type="dxa"/>
            <w:gridSpan w:val="2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Latn-CS" w:eastAsia="sr-Latn-CS"/>
              </w:rPr>
            </w:pPr>
            <w:r w:rsidRPr="00CF0ED2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Домаћи: 1</w:t>
            </w:r>
          </w:p>
        </w:tc>
        <w:tc>
          <w:tcPr>
            <w:tcW w:w="2552" w:type="dxa"/>
            <w:gridSpan w:val="2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Latn-CS" w:eastAsia="sr-Latn-CS"/>
              </w:rPr>
            </w:pPr>
            <w:r w:rsidRPr="00CF0ED2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Међународни:</w:t>
            </w:r>
            <w:r w:rsidRPr="00CF0ED2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/</w:t>
            </w:r>
          </w:p>
        </w:tc>
      </w:tr>
      <w:tr w:rsidR="00CF0ED2" w:rsidRPr="00CF0ED2" w:rsidTr="007340A0">
        <w:trPr>
          <w:trHeight w:val="227"/>
          <w:jc w:val="center"/>
        </w:trPr>
        <w:tc>
          <w:tcPr>
            <w:tcW w:w="5779" w:type="dxa"/>
            <w:gridSpan w:val="4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CF0ED2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Усавршавања </w:t>
            </w:r>
          </w:p>
        </w:tc>
        <w:tc>
          <w:tcPr>
            <w:tcW w:w="4956" w:type="dxa"/>
            <w:gridSpan w:val="4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CF0ED2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/</w:t>
            </w:r>
          </w:p>
        </w:tc>
      </w:tr>
      <w:tr w:rsidR="00CF0ED2" w:rsidRPr="00CF0ED2" w:rsidTr="007340A0">
        <w:trPr>
          <w:trHeight w:val="227"/>
          <w:jc w:val="center"/>
        </w:trPr>
        <w:tc>
          <w:tcPr>
            <w:tcW w:w="10735" w:type="dxa"/>
            <w:gridSpan w:val="8"/>
            <w:vAlign w:val="center"/>
          </w:tcPr>
          <w:p w:rsidR="00CF0ED2" w:rsidRPr="00CF0ED2" w:rsidRDefault="00CF0ED2" w:rsidP="00CF0E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CF0ED2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Други подаци које сматрате релевантним: Главни уредник часописа </w:t>
            </w:r>
            <w:r w:rsidRPr="00CF0ED2">
              <w:rPr>
                <w:rFonts w:eastAsia="Calibri" w:cs="Times New Roman"/>
                <w:i/>
                <w:sz w:val="20"/>
                <w:szCs w:val="20"/>
                <w:lang w:val="sr-Cyrl-CS" w:eastAsia="sr-Latn-CS"/>
              </w:rPr>
              <w:t xml:space="preserve">Узданица </w:t>
            </w:r>
            <w:r w:rsidRPr="00CF0ED2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(М52)</w:t>
            </w:r>
          </w:p>
        </w:tc>
      </w:tr>
    </w:tbl>
    <w:p w:rsidR="00B15F85" w:rsidRPr="0059008C" w:rsidRDefault="00B15F85" w:rsidP="00FD5164">
      <w:pPr>
        <w:rPr>
          <w:sz w:val="20"/>
          <w:szCs w:val="20"/>
        </w:rPr>
      </w:pPr>
      <w:bookmarkStart w:id="1" w:name="_GoBack"/>
      <w:bookmarkEnd w:id="1"/>
    </w:p>
    <w:sectPr w:rsidR="00B15F85" w:rsidRPr="0059008C" w:rsidSect="00C47388">
      <w:pgSz w:w="11907" w:h="16840" w:code="9"/>
      <w:pgMar w:top="360" w:right="477" w:bottom="1440" w:left="3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R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C7B"/>
    <w:rsid w:val="00276E52"/>
    <w:rsid w:val="002C61C3"/>
    <w:rsid w:val="002D6331"/>
    <w:rsid w:val="002F0702"/>
    <w:rsid w:val="0034351C"/>
    <w:rsid w:val="00372AEB"/>
    <w:rsid w:val="003E7C7B"/>
    <w:rsid w:val="00454234"/>
    <w:rsid w:val="004606CC"/>
    <w:rsid w:val="004B2502"/>
    <w:rsid w:val="004C04E0"/>
    <w:rsid w:val="004E7727"/>
    <w:rsid w:val="005612E1"/>
    <w:rsid w:val="0058730A"/>
    <w:rsid w:val="0059008C"/>
    <w:rsid w:val="00654C62"/>
    <w:rsid w:val="00657126"/>
    <w:rsid w:val="00730F0C"/>
    <w:rsid w:val="00752F26"/>
    <w:rsid w:val="007A72FE"/>
    <w:rsid w:val="00987BA1"/>
    <w:rsid w:val="00996FD6"/>
    <w:rsid w:val="009B56B3"/>
    <w:rsid w:val="009F6F46"/>
    <w:rsid w:val="00A25C84"/>
    <w:rsid w:val="00A6319D"/>
    <w:rsid w:val="00AC67A2"/>
    <w:rsid w:val="00B01D6F"/>
    <w:rsid w:val="00B15F85"/>
    <w:rsid w:val="00B5449D"/>
    <w:rsid w:val="00BD05DF"/>
    <w:rsid w:val="00C33E65"/>
    <w:rsid w:val="00C47388"/>
    <w:rsid w:val="00CF0ED2"/>
    <w:rsid w:val="00D20409"/>
    <w:rsid w:val="00DB6CB6"/>
    <w:rsid w:val="00EE3753"/>
    <w:rsid w:val="00FB5E44"/>
    <w:rsid w:val="00FD51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4C31ABC-C3AB-4206-B127-C8C26FE1C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47388"/>
    <w:pPr>
      <w:widowControl w:val="0"/>
      <w:autoSpaceDE w:val="0"/>
      <w:autoSpaceDN w:val="0"/>
      <w:adjustRightInd w:val="0"/>
      <w:outlineLvl w:val="0"/>
    </w:pPr>
    <w:rPr>
      <w:rFonts w:eastAsia="Calibri" w:cs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372AEB"/>
    <w:rPr>
      <w:rFonts w:cs="Times New Roman"/>
      <w:i/>
      <w:iCs/>
    </w:rPr>
  </w:style>
  <w:style w:type="character" w:customStyle="1" w:styleId="apple-converted-space">
    <w:name w:val="apple-converted-space"/>
    <w:basedOn w:val="DefaultParagraphFont"/>
    <w:rsid w:val="00C33E65"/>
  </w:style>
  <w:style w:type="character" w:customStyle="1" w:styleId="wmi-callto">
    <w:name w:val="wmi-callto"/>
    <w:basedOn w:val="DefaultParagraphFont"/>
    <w:rsid w:val="00C33E65"/>
  </w:style>
  <w:style w:type="character" w:customStyle="1" w:styleId="Heading1Char">
    <w:name w:val="Heading 1 Char"/>
    <w:basedOn w:val="DefaultParagraphFont"/>
    <w:link w:val="Heading1"/>
    <w:uiPriority w:val="9"/>
    <w:rsid w:val="00C47388"/>
    <w:rPr>
      <w:rFonts w:eastAsia="Calibri" w:cs="Times New Roman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33BA3-929C-4DA2-B299-AD8A5DA3E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FPNJA</Company>
  <LinksUpToDate>false</LinksUpToDate>
  <CharactersWithSpaces>3030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PSF</dc:creator>
  <cp:lastModifiedBy>Ivan</cp:lastModifiedBy>
  <cp:revision>7</cp:revision>
  <dcterms:created xsi:type="dcterms:W3CDTF">2015-05-30T15:57:00Z</dcterms:created>
  <dcterms:modified xsi:type="dcterms:W3CDTF">2015-10-21T07:42:00Z</dcterms:modified>
</cp:coreProperties>
</file>